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Проект</w:t>
      </w:r>
    </w:p>
    <w:p w:rsidR="00000000" w:rsidDel="00000000" w:rsidP="00000000" w:rsidRDefault="00000000" w:rsidRPr="00000000" w14:paraId="00000001">
      <w:pPr>
        <w:spacing w:after="0" w:line="276"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РЕЗОЛЮЦИЯ ОБЩЕСТВЕННЫХ СЛУШАНИЙ</w:t>
      </w:r>
    </w:p>
    <w:p w:rsidR="00000000" w:rsidDel="00000000" w:rsidP="00000000" w:rsidRDefault="00000000" w:rsidRPr="00000000" w14:paraId="00000002">
      <w:pPr>
        <w:spacing w:after="0" w:line="276"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«Противодействие недобросовестной конкуренции на рынке строительных материалов Сибири в условиях нового правового регулирования государственного контроля (надзора) в РФ»</w:t>
      </w:r>
    </w:p>
    <w:p w:rsidR="00000000" w:rsidDel="00000000" w:rsidP="00000000" w:rsidRDefault="00000000" w:rsidRPr="00000000" w14:paraId="00000003">
      <w:pPr>
        <w:spacing w:after="0" w:line="276"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07.10.2021                                                                                         г. Новосибирск</w:t>
      </w:r>
    </w:p>
    <w:p w:rsidR="00000000" w:rsidDel="00000000" w:rsidP="00000000" w:rsidRDefault="00000000" w:rsidRPr="00000000" w14:paraId="00000005">
      <w:pPr>
        <w:spacing w:after="0" w:line="276"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октября в Новосибирске состоялись общественные слушания на тему «Противодействие недобросовестной конкуренции на рынке строительных материалов Сибири в условиях нового правового регулирования государственного контроля (надзора) в РФ».</w:t>
      </w:r>
    </w:p>
    <w:p w:rsidR="00000000" w:rsidDel="00000000" w:rsidP="00000000" w:rsidRDefault="00000000" w:rsidRPr="00000000" w14:paraId="00000007">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Организатором мероприятия, прошедшего в очно-заочном формате, выступила Общественная палата Новосибирской области. Участниками заседания стали</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представители Общественной палаты РФ, Росстандарта, Росаккредитации, Аппарата полномочного представителя Президента РФ в СФО, Правительства Новосибирской области и других госорганов, общественных организаций, компаний-производителей строительных материалов и др. </w:t>
      </w:r>
    </w:p>
    <w:p w:rsidR="00000000" w:rsidDel="00000000" w:rsidP="00000000" w:rsidRDefault="00000000" w:rsidRPr="00000000" w14:paraId="00000008">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Присутствующие обсудили широкий круг вопросов, связанных с оборотом некачественных строительных материалов, возможными последствиями их применения, изменениями в действующем законодательстве, мерами по противодействию распространению контрафакта и фальсификата на строительном рынке страны.</w:t>
      </w:r>
    </w:p>
    <w:p w:rsidR="00000000" w:rsidDel="00000000" w:rsidP="00000000" w:rsidRDefault="00000000" w:rsidRPr="00000000" w14:paraId="00000009">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Отправной точкой обсуждения стало принятие Федерального закона №170-ФЗ от 11.06.2021 «О внесении изменений в отдельные законодательные акты РФ в связи с принятием Федерального закона «О государственном контроле (надзоре) и муниципальном контроле в РФ». Со вступлением в силу большинства его положений государственный контроль (надзор) за выпуском в обращение отдельных строительных материалов прекратился. Вместе с тем, проблема незаконного оборота контрафактной и фальсифицированной продукции на строительном рынке остается актуальной. Участники заседания признали опасность распространения и применения некачественных стройматериалов. Изучив возможные риски, связанные с отменой государственного контроля (надзора), собравшиеся пришли к выводу: необходимо обеспечить безопасность строительного рынка во избежание увеличения фактов недобросовестной конкуренции среди производителей и поставщиков стройматериалов. Под термином «недобросовестная конкуренция» подразумеваются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РФ,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Таким образом, действия изготовителей и продавцов контрафакта/фальсификата можно расценивать как недобросовестную конкуренцию. Недобросовестная конкуренция запрещена согласно Федеральному Закону от 26.07.2006 №135-ФЗ «О защите конкуренции».</w:t>
      </w:r>
    </w:p>
    <w:p w:rsidR="00000000" w:rsidDel="00000000" w:rsidP="00000000" w:rsidRDefault="00000000" w:rsidRPr="00000000" w14:paraId="0000000A">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Оценив ситуацию в сфере промышленности строительных материалов и изучив изменения в законодательстве, участники мероприятия отметили:</w:t>
      </w:r>
    </w:p>
    <w:p w:rsidR="00000000" w:rsidDel="00000000" w:rsidP="00000000" w:rsidRDefault="00000000" w:rsidRPr="00000000" w14:paraId="0000000C">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актуальность проблемы незаконного оборота промышленной продукции, в частности строительных материалов, во всех странах мира, включая Российскую Федерацию;</w:t>
      </w:r>
    </w:p>
    <w:p w:rsidR="00000000" w:rsidDel="00000000" w:rsidP="00000000" w:rsidRDefault="00000000" w:rsidRPr="00000000" w14:paraId="0000000D">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значимость данной проблемы для многих регионов России, в том числе для Сибирского федерального округа;</w:t>
      </w:r>
    </w:p>
    <w:p w:rsidR="00000000" w:rsidDel="00000000" w:rsidP="00000000" w:rsidRDefault="00000000" w:rsidRPr="00000000" w14:paraId="0000000E">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серьезных рисков, связанных с распространением и использованием строительных материалов неустановленного качества (угроза жизни и здоровью людей, нанесение ущерба экономике и легальному бизнесу);</w:t>
      </w:r>
    </w:p>
    <w:p w:rsidR="00000000" w:rsidDel="00000000" w:rsidP="00000000" w:rsidRDefault="00000000" w:rsidRPr="00000000" w14:paraId="0000000F">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наличие проблем, вызванных внесением изменений в ряд законодательных актов</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о государственном контроле (надзоре) в рамках реализации механизмов «регуляторной гильотины»;</w:t>
      </w:r>
    </w:p>
    <w:p w:rsidR="00000000" w:rsidDel="00000000" w:rsidP="00000000" w:rsidRDefault="00000000" w:rsidRPr="00000000" w14:paraId="00000010">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возникновение значительных рисков при прекращении государственного контроля (надзора) за выпуском в обращение и обращением на рынке отдельных строительных материалов и продукции, используемой в строительстве;</w:t>
      </w:r>
    </w:p>
    <w:p w:rsidR="00000000" w:rsidDel="00000000" w:rsidP="00000000" w:rsidRDefault="00000000" w:rsidRPr="00000000" w14:paraId="00000011">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действенность мер, предложенных участниками общественных слушаний</w:t>
      </w:r>
      <w:r w:rsidDel="00000000" w:rsidR="00000000" w:rsidRPr="00000000">
        <w:rPr>
          <w:rFonts w:ascii="Times New Roman" w:cs="Times New Roman" w:eastAsia="Times New Roman" w:hAnsi="Times New Roman"/>
          <w:color w:val="ff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для повышения эффективности борьбы с распространением контрафакта и фальсификата на строительном рынке.</w:t>
      </w:r>
    </w:p>
    <w:p w:rsidR="00000000" w:rsidDel="00000000" w:rsidP="00000000" w:rsidRDefault="00000000" w:rsidRPr="00000000" w14:paraId="00000012">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итогам общественных слушаний выработаны следующие предложения:</w:t>
      </w:r>
    </w:p>
    <w:p w:rsidR="00000000" w:rsidDel="00000000" w:rsidP="00000000" w:rsidRDefault="00000000" w:rsidRPr="00000000" w14:paraId="00000014">
      <w:pPr>
        <w:spacing w:after="0" w:lineRule="auto"/>
        <w:ind w:firstLine="708"/>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Rule="auto"/>
        <w:ind w:firstLine="708"/>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Общественной палате Новосибирской области:</w:t>
      </w:r>
    </w:p>
    <w:p w:rsidR="00000000" w:rsidDel="00000000" w:rsidP="00000000" w:rsidRDefault="00000000" w:rsidRPr="00000000" w14:paraId="00000016">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организатору мероприятия – проинформировать органы власти и широкую общественность о результатах обсуждения вопроса противодействия недобросовестной конкуренции на рынке строительных материалов Сибири в условиях нового правового регулирования.</w:t>
      </w:r>
    </w:p>
    <w:p w:rsidR="00000000" w:rsidDel="00000000" w:rsidP="00000000" w:rsidRDefault="00000000" w:rsidRPr="00000000" w14:paraId="00000017">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Rule="auto"/>
        <w:ind w:firstLine="708"/>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Общественной палате РФ:</w:t>
      </w:r>
    </w:p>
    <w:p w:rsidR="00000000" w:rsidDel="00000000" w:rsidP="00000000" w:rsidRDefault="00000000" w:rsidRPr="00000000" w14:paraId="00000019">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рекомендовать рассмотреть возможные мероприятия для повышения эффективности взаимодействия представителей общественности, бизнеса, надзорных органов и органов государственной власти в вопросах защиты строительного рынка от распространения небезопасной и некачественной продукции.</w:t>
      </w:r>
    </w:p>
    <w:p w:rsidR="00000000" w:rsidDel="00000000" w:rsidP="00000000" w:rsidRDefault="00000000" w:rsidRPr="00000000" w14:paraId="0000001A">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76" w:lineRule="auto"/>
        <w:ind w:firstLine="708"/>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Органам государственной власти РФ:</w:t>
      </w:r>
    </w:p>
    <w:p w:rsidR="00000000" w:rsidDel="00000000" w:rsidP="00000000" w:rsidRDefault="00000000" w:rsidRPr="00000000" w14:paraId="0000001C">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рекомендовать Минэкономразвития России совместно с заинтересованными федеральными органами исполнительной власти принять меры по обеспечению сохранения государственного контроля и надзора за строительными материалами, включенными в перечень подлежащей обязательной сертификации продукции, утвержденный постановлением Правительства Российской Федерации от 1 декабря 2009 г. </w:t>
        <w:br w:type="textWrapping"/>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и контроля за соблюдением обязательных требований технических регламентов и (или) обязательных требований, подлежащих применению до вступления в силу технических регламентов;</w:t>
      </w:r>
    </w:p>
    <w:p w:rsidR="00000000" w:rsidDel="00000000" w:rsidP="00000000" w:rsidRDefault="00000000" w:rsidRPr="00000000" w14:paraId="0000001D">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рекомендовать Минпромторгу России совместно с заинтересованными федеральными органами исполнительной власти принять меры по обеспечению сохранения норм постановления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которое должно утратить силу с 1 марта 2022 года в соответствии с положениями пункта 9 постановления Правительства РФ от 31 декабря 2020 года №2467 «Об утверждении перечня нормативных актов…», путем принятия нового аналогичного постановления;</w:t>
      </w:r>
    </w:p>
    <w:p w:rsidR="00000000" w:rsidDel="00000000" w:rsidP="00000000" w:rsidRDefault="00000000" w:rsidRPr="00000000" w14:paraId="0000001E">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рекомендовать Государственной комиссии по противодействию незаконному обороту промышленной продукции в целях урегулирования вопроса осуществления надзора за обращением на рынке отдельных строительных материалов и продукции, используемой в строительстве, </w:t>
        <w:br w:type="textWrapping"/>
        <w:t xml:space="preserve">и, соответственно, предотвращения риска роста реализации на рынке фальсифицированной продукции, представляющей угрозу жизни и здоровью граждан, угрозу для окружающей среды, интересам добросовестных производителей и экономической безопасности, рассмотреть на заседании вопрос о четком определении в Федеральном законе от 27 декабря 2002 г. </w:t>
        <w:br w:type="textWrapping"/>
        <w:t xml:space="preserve">№ 184-ФЗ «О техническом регулировании» соответствующего вида надзора (возможный вариант – федеральный государственный контроль (надзор) </w:t>
        <w:br w:type="textWrapping"/>
        <w:t xml:space="preserve">в сфере обращения непищевой промышленной продукции) с определением  его предмета – соблюдение требований технических регламентов, а также определить объектный состав указанного вида надзора, исходя  из ресурсного (штатного, финансового, лабораторного и т.д.) обеспечения.</w:t>
      </w:r>
    </w:p>
    <w:p w:rsidR="00000000" w:rsidDel="00000000" w:rsidP="00000000" w:rsidRDefault="00000000" w:rsidRPr="00000000" w14:paraId="0000001F">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рекомендовать Правительству Российской Федерации утвердить положение, предусматривающее наделение полномочиями Росстандарта по осуществлению федерального государственного контроля (надзора) за промышленной продукцией, включенной в перечень продукции, подлежащей обязательному подтверждению соответствия (на основании постановления Правительства Российской Федерации от 01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и контроля за соблюдением обязательных требований технических регламентов и (или) обязательных требований, подлежащих применению до вступления в силу технических регламентов;</w:t>
      </w:r>
    </w:p>
    <w:p w:rsidR="00000000" w:rsidDel="00000000" w:rsidP="00000000" w:rsidRDefault="00000000" w:rsidRPr="00000000" w14:paraId="00000022">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внести необходимые изменения в отдельные законодательные акты Российской Федерации в целях сохранения и совершенствования системы государственного контроля (надзора) в отношении оборота строительных материалов:</w:t>
      </w:r>
    </w:p>
    <w:p w:rsidR="00000000" w:rsidDel="00000000" w:rsidP="00000000" w:rsidRDefault="00000000" w:rsidRPr="00000000" w14:paraId="00000023">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1. В отношении контроля за соблюдением обязательных требований технических регламентов и (или) обязательных требований, подлежащих применению до вступления в силу технических регламентов.</w:t>
      </w:r>
      <w:r w:rsidDel="00000000" w:rsidR="00000000" w:rsidRPr="00000000">
        <w:rPr>
          <w:i w:val="1"/>
          <w:rtl w:val="0"/>
        </w:rPr>
        <w:t xml:space="preserve"> </w:t>
        <w:br w:type="textWrapping"/>
      </w:r>
      <w:r w:rsidDel="00000000" w:rsidR="00000000" w:rsidRPr="00000000">
        <w:rPr>
          <w:rFonts w:ascii="Times New Roman" w:cs="Times New Roman" w:eastAsia="Times New Roman" w:hAnsi="Times New Roman"/>
          <w:sz w:val="28"/>
          <w:szCs w:val="28"/>
          <w:rtl w:val="0"/>
        </w:rPr>
        <w:t xml:space="preserve">В Федеральном законе № 170-ФЗ от 11.06.2021 г. установить реальную возможность Росстандарта или иного федерального органа исполнительной власти осуществлять государственный контроль (надзор) за соблюдением обязательных требований, предъявляемых к строительным материалам;</w:t>
      </w:r>
    </w:p>
    <w:p w:rsidR="00000000" w:rsidDel="00000000" w:rsidP="00000000" w:rsidRDefault="00000000" w:rsidRPr="00000000" w14:paraId="00000024">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i w:val="1"/>
          <w:sz w:val="28"/>
          <w:szCs w:val="28"/>
          <w:rtl w:val="0"/>
        </w:rPr>
        <w:t xml:space="preserve">В отношении контроля за деятельностью аккредитованных лиц.</w:t>
      </w:r>
      <w:r w:rsidDel="00000000" w:rsidR="00000000" w:rsidRPr="00000000">
        <w:rPr>
          <w:rFonts w:ascii="Times New Roman" w:cs="Times New Roman" w:eastAsia="Times New Roman" w:hAnsi="Times New Roman"/>
          <w:sz w:val="28"/>
          <w:szCs w:val="28"/>
          <w:rtl w:val="0"/>
        </w:rPr>
        <w:t xml:space="preserve"> В Федеральном законе № 170-ФЗ от 11.06.2021 г. – предусмотреть статью, посвященную внесению изменений в ст. 27 Федерального закона от 28.12.2013 № 412-ФЗ «Об аккредитации в национальной системе аккредитации» (далее – Закон об аккредитации). Содержащиеся в нем ссылки на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нормы которого с 01.07.2021 не подлежат применению к организации и осуществлению федерального государственного контроля за деятельностью аккредитованных лиц, – исключить и предусмотреть в ст. 27 Закона об аккредитации положение о том, что организация и осуществление федерального государственного контроля за деятельностью аккредитованных лиц регулируется Законом № 248-ФЗ;</w:t>
      </w:r>
    </w:p>
    <w:p w:rsidR="00000000" w:rsidDel="00000000" w:rsidP="00000000" w:rsidRDefault="00000000" w:rsidRPr="00000000" w14:paraId="00000025">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b w:val="1"/>
          <w:i w:val="1"/>
          <w:sz w:val="28"/>
          <w:szCs w:val="28"/>
          <w:rtl w:val="0"/>
        </w:rPr>
        <w:t xml:space="preserve">В отношении строительного надзора.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Изложить скорректированный статьей 64 Федерального закона №170-ФЗ от 11.06.2021 г. подпункт 1 пункта 3 статьи 54 Градостроительного кодекса РФ следующим образом: «Соответствие выполняемых работ и применяемых при изготовлении строительных конструкций строительных материалов и изделий требованиям технических регламентов и (или) обязательным требованиям, подлежащим применению до вступления в силу технических регламентов…».</w:t>
      </w:r>
    </w:p>
    <w:p w:rsidR="00000000" w:rsidDel="00000000" w:rsidP="00000000" w:rsidRDefault="00000000" w:rsidRPr="00000000" w14:paraId="00000026">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 связи с тем, что при осуществлении государственного контроля (надзора) по Закону № 248-ФЗ оценка соблюдения контролируемыми лицами обязательных требований, установленных национальными стандартами (ГОСТами), вступившими в силу до 01.01.2020, производиться не будет, а оценка соблюдения обязательных требований, содержащихся в Постановлении № 982 и привлечение к административной ответственности за их несоблюдение допускаются только до 1 марта 2022 года, рассмотреть возможность оперативного принятия новых ГОСТов, либо внесения изменений (дополнений) в перечень, утвержденный Постановлением Правительства РФ от 31.12.2020 № 2467, а именно указание ГОСТов в п. 470 перечня, либо принятия Постановления № 982 в новой редакции, предусматривающей перечни нормативных документов, устанавливающих обязательные требования к продукции, в частности, перечни ГОСТов в отношении строительных материалов. Кроме того, п. 470 перечня, утвержденного Постановлением Правительства РФ от 31.12.2020 № 2467, – сделать бессрочным.</w:t>
      </w:r>
    </w:p>
    <w:p w:rsidR="00000000" w:rsidDel="00000000" w:rsidP="00000000" w:rsidRDefault="00000000" w:rsidRPr="00000000" w14:paraId="00000027">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учетом принятой «Стратегии по противодействию незаконному обороту промышленной продукции в Российской Федерации на период до 2025 года», утвержденной распоряжением Правительства Российской Федерации от 6 февраля 2021 г. № 256-р (далее – Стратегия по ПНОПП), ходатайствовать перед Экспертным советом при Государственной комиссии по противодействию незаконному обороту промышленной продукции в рамках своих полномочий, создать рабочую группу по разработке мер рекомендательного характера для предложений в Правительство РФ по устранению противоречий в нормативных правовых актах Российской Федерации, регулирующих отношения, возникающие в сфере противодействия незаконному обороту промышленной продукции, в части производства строительных материалов.</w:t>
      </w:r>
    </w:p>
    <w:p w:rsidR="00000000" w:rsidDel="00000000" w:rsidP="00000000" w:rsidRDefault="00000000" w:rsidRPr="00000000" w14:paraId="00000029">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рекомендовать Росаккредитации, в связи с утверждением критериев аккредитации и перечня документов, подтверждающих соответствие заявителя, аккредитованного лица критериям аккредитации (Приказ Министерства экономического развития РФ № 707 от 26.10.2020 г.), провести мероприятия по контролю в отношении юридических лиц, индивидуальных предпринимателей, выполняющих работы по оценке соответствия.</w:t>
      </w:r>
    </w:p>
    <w:p w:rsidR="00000000" w:rsidDel="00000000" w:rsidP="00000000" w:rsidRDefault="00000000" w:rsidRPr="00000000" w14:paraId="0000002A">
      <w:pPr>
        <w:spacing w:after="0"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целях реализации положений Стратегии по ПНОПП (п. 8 «Совершенствование законодательства Российской Федерации, направленного на противодействие незаконному обороту промышленной продукции») рассмотреть в дальнейшем возможность принятия национального технического регламента о безопасности строительных материалов и изделий, что будет способствовать сокращению оборота некачественной продукции;</w:t>
      </w:r>
    </w:p>
    <w:p w:rsidR="00000000" w:rsidDel="00000000" w:rsidP="00000000" w:rsidRDefault="00000000" w:rsidRPr="00000000" w14:paraId="0000002B">
      <w:pPr>
        <w:spacing w:after="0" w:line="276" w:lineRule="auto"/>
        <w:ind w:firstLine="708"/>
        <w:contextualSpacing w:val="0"/>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рекомендовать Экспертному совету при Государственной комиссии по противодействию незаконному обороту промышленной продукции всесторонне изучить целесообразность повышения санкций за незаконный оборот фальсифицированных и контрафактных строительных материалов.</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E17A3"/>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764A2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